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6DDFE" w14:textId="77777777" w:rsidR="00432C8A" w:rsidRDefault="00432C8A">
      <w:pPr>
        <w:pStyle w:val="BodyText"/>
        <w:spacing w:before="8"/>
        <w:rPr>
          <w:rFonts w:ascii="Times New Roman"/>
          <w:sz w:val="11"/>
        </w:rPr>
      </w:pPr>
    </w:p>
    <w:p w14:paraId="0B6F16A5" w14:textId="31A272E1" w:rsidR="00432C8A" w:rsidRDefault="000E71D5">
      <w:pPr>
        <w:pStyle w:val="Heading1"/>
        <w:spacing w:before="100"/>
        <w:ind w:left="120"/>
      </w:pPr>
      <w:bookmarkStart w:id="0" w:name="Statement_of_Purpose_for_the_Southern_Ea"/>
      <w:bookmarkEnd w:id="0"/>
      <w:r>
        <w:t>Representation</w:t>
      </w:r>
    </w:p>
    <w:p w14:paraId="3FC4625A" w14:textId="77777777" w:rsidR="00432C8A" w:rsidRDefault="00432C8A">
      <w:pPr>
        <w:pStyle w:val="BodyText"/>
        <w:spacing w:before="10"/>
        <w:rPr>
          <w:b/>
          <w:sz w:val="19"/>
        </w:rPr>
      </w:pPr>
    </w:p>
    <w:p w14:paraId="6BFDE930" w14:textId="49772757" w:rsidR="00432C8A" w:rsidRDefault="000E71D5">
      <w:pPr>
        <w:pStyle w:val="BodyText"/>
        <w:ind w:left="118" w:right="234" w:firstLine="1"/>
      </w:pPr>
      <w:r>
        <w:t xml:space="preserve">The </w:t>
      </w:r>
      <w:r w:rsidR="005C53A9">
        <w:t>National Clinical Trial Agreements Panel (</w:t>
      </w:r>
      <w:proofErr w:type="spellStart"/>
      <w:r w:rsidR="005C53A9">
        <w:t>NaCTA</w:t>
      </w:r>
      <w:proofErr w:type="spellEnd"/>
      <w:r w:rsidR="005C53A9">
        <w:t>) previously known as</w:t>
      </w:r>
      <w:r>
        <w:t xml:space="preserve"> </w:t>
      </w:r>
      <w:r w:rsidR="005C53A9">
        <w:t>the SEBS</w:t>
      </w:r>
      <w:r>
        <w:t xml:space="preserve"> panel has representatives from the health departments of </w:t>
      </w:r>
      <w:r w:rsidR="005C53A9">
        <w:t>all the Australian states and territories</w:t>
      </w:r>
      <w:r>
        <w:t xml:space="preserve">. </w:t>
      </w:r>
      <w:proofErr w:type="spellStart"/>
      <w:r w:rsidR="005C53A9">
        <w:t>NaCTA</w:t>
      </w:r>
      <w:proofErr w:type="spellEnd"/>
      <w:r>
        <w:t xml:space="preserve"> works to </w:t>
      </w:r>
      <w:proofErr w:type="spellStart"/>
      <w:r>
        <w:t>standardise</w:t>
      </w:r>
      <w:proofErr w:type="spellEnd"/>
      <w:r>
        <w:t>, as far, as possible, the terms and conditions of the Medicine</w:t>
      </w:r>
      <w:r>
        <w:t xml:space="preserve">s Australia Clinical Trial Research Agreements (CTRAs) </w:t>
      </w:r>
      <w:r w:rsidR="005C53A9">
        <w:t>to</w:t>
      </w:r>
      <w:r>
        <w:t xml:space="preserve"> streamline the administrative management of contracts for sponsors and Health Services </w:t>
      </w:r>
      <w:proofErr w:type="spellStart"/>
      <w:r>
        <w:t>organisations</w:t>
      </w:r>
      <w:proofErr w:type="spellEnd"/>
      <w:r>
        <w:t xml:space="preserve"> who are parties to the agreements.</w:t>
      </w:r>
    </w:p>
    <w:p w14:paraId="06E7D61E" w14:textId="77777777" w:rsidR="00432C8A" w:rsidRDefault="00432C8A">
      <w:pPr>
        <w:pStyle w:val="BodyText"/>
        <w:spacing w:before="8"/>
        <w:rPr>
          <w:sz w:val="19"/>
        </w:rPr>
      </w:pPr>
    </w:p>
    <w:p w14:paraId="070E0429" w14:textId="57E12286" w:rsidR="00432C8A" w:rsidRDefault="000E71D5">
      <w:pPr>
        <w:pStyle w:val="Heading1"/>
        <w:spacing w:before="0"/>
        <w:ind w:left="120"/>
      </w:pPr>
      <w:bookmarkStart w:id="1" w:name="Process_for_Submission_to_SEBS_for_Sched"/>
      <w:bookmarkEnd w:id="1"/>
      <w:r>
        <w:t xml:space="preserve">Process for Submission to </w:t>
      </w:r>
      <w:proofErr w:type="spellStart"/>
      <w:r w:rsidR="005C53A9">
        <w:t>NaCTA</w:t>
      </w:r>
      <w:proofErr w:type="spellEnd"/>
      <w:r>
        <w:t xml:space="preserve"> for Schedule 7 or</w:t>
      </w:r>
      <w:r>
        <w:t xml:space="preserve"> 4 Special Conditions</w:t>
      </w:r>
    </w:p>
    <w:p w14:paraId="3FC24268" w14:textId="77777777" w:rsidR="00432C8A" w:rsidRDefault="00432C8A">
      <w:pPr>
        <w:pStyle w:val="BodyText"/>
        <w:spacing w:before="1"/>
        <w:rPr>
          <w:b/>
        </w:rPr>
      </w:pPr>
    </w:p>
    <w:p w14:paraId="1A7A5B63" w14:textId="21004770" w:rsidR="00432C8A" w:rsidRDefault="000E71D5">
      <w:pPr>
        <w:pStyle w:val="BodyText"/>
        <w:ind w:left="119" w:right="336"/>
      </w:pPr>
      <w:r>
        <w:t xml:space="preserve">The template CTRAs can be executed without the need for any amendments via Schedule 7 (or Schedule 4 in the case of the CRG, Phase IV CRO and Phase IV templates). This is preferable for </w:t>
      </w:r>
      <w:proofErr w:type="spellStart"/>
      <w:r w:rsidR="005C53A9">
        <w:t>NaCTA</w:t>
      </w:r>
      <w:proofErr w:type="spellEnd"/>
      <w:r>
        <w:t xml:space="preserve"> jurisdictions, as there will be no require</w:t>
      </w:r>
      <w:r>
        <w:t xml:space="preserve">ment to involve the </w:t>
      </w:r>
      <w:proofErr w:type="spellStart"/>
      <w:r w:rsidR="005C53A9">
        <w:t>NaCTA</w:t>
      </w:r>
      <w:proofErr w:type="spellEnd"/>
      <w:r>
        <w:t xml:space="preserve"> panel, and </w:t>
      </w:r>
      <w:r>
        <w:t>Institutions can accept the unmodified CTRAs without requiring further legal review and therefore imposing further delays.</w:t>
      </w:r>
    </w:p>
    <w:p w14:paraId="6310A301" w14:textId="77777777" w:rsidR="00432C8A" w:rsidRDefault="00432C8A">
      <w:pPr>
        <w:pStyle w:val="BodyText"/>
      </w:pPr>
    </w:p>
    <w:p w14:paraId="104A467E" w14:textId="3E9B03DD" w:rsidR="00432C8A" w:rsidRDefault="000E71D5">
      <w:pPr>
        <w:pStyle w:val="BodyText"/>
        <w:ind w:left="120" w:right="296"/>
      </w:pPr>
      <w:r>
        <w:t xml:space="preserve">The </w:t>
      </w:r>
      <w:proofErr w:type="spellStart"/>
      <w:r w:rsidR="005C53A9">
        <w:t>NaCTA</w:t>
      </w:r>
      <w:proofErr w:type="spellEnd"/>
      <w:r>
        <w:t xml:space="preserve"> panel will consider CTRA amendments that are intended to accommodate, as far as po</w:t>
      </w:r>
      <w:r>
        <w:t xml:space="preserve">ssible, company-specific clauses that clarify or add to the CTRAs. However, the </w:t>
      </w:r>
      <w:proofErr w:type="spellStart"/>
      <w:r w:rsidR="005C53A9">
        <w:t>NaCTA</w:t>
      </w:r>
      <w:proofErr w:type="spellEnd"/>
      <w:r>
        <w:t xml:space="preserve"> panel will </w:t>
      </w:r>
      <w:r>
        <w:rPr>
          <w:b/>
        </w:rPr>
        <w:t xml:space="preserve">not </w:t>
      </w:r>
      <w:r>
        <w:t>accept amendments that:</w:t>
      </w:r>
    </w:p>
    <w:p w14:paraId="0C7EFD2F" w14:textId="77777777" w:rsidR="00432C8A" w:rsidRDefault="00432C8A">
      <w:pPr>
        <w:pStyle w:val="BodyText"/>
        <w:spacing w:before="9"/>
        <w:rPr>
          <w:sz w:val="19"/>
        </w:rPr>
      </w:pPr>
    </w:p>
    <w:p w14:paraId="7EC3AA65" w14:textId="77777777" w:rsidR="00432C8A" w:rsidRDefault="000E71D5">
      <w:pPr>
        <w:pStyle w:val="ListParagraph"/>
        <w:numPr>
          <w:ilvl w:val="0"/>
          <w:numId w:val="1"/>
        </w:numPr>
        <w:tabs>
          <w:tab w:val="left" w:pos="657"/>
          <w:tab w:val="left" w:pos="658"/>
        </w:tabs>
        <w:spacing w:before="1"/>
        <w:ind w:right="770"/>
        <w:rPr>
          <w:sz w:val="20"/>
        </w:rPr>
      </w:pPr>
      <w:r>
        <w:rPr>
          <w:sz w:val="20"/>
        </w:rPr>
        <w:t>are</w:t>
      </w:r>
      <w:r>
        <w:rPr>
          <w:spacing w:val="-7"/>
          <w:sz w:val="20"/>
        </w:rPr>
        <w:t xml:space="preserve"> </w:t>
      </w:r>
      <w:r>
        <w:rPr>
          <w:sz w:val="20"/>
        </w:rPr>
        <w:t>clearly</w:t>
      </w:r>
      <w:r>
        <w:rPr>
          <w:spacing w:val="-9"/>
          <w:sz w:val="20"/>
        </w:rPr>
        <w:t xml:space="preserve"> </w:t>
      </w:r>
      <w:r>
        <w:rPr>
          <w:sz w:val="20"/>
        </w:rPr>
        <w:t>contrary</w:t>
      </w:r>
      <w:r>
        <w:rPr>
          <w:spacing w:val="-9"/>
          <w:sz w:val="20"/>
        </w:rPr>
        <w:t xml:space="preserve"> </w:t>
      </w:r>
      <w:r>
        <w:rPr>
          <w:sz w:val="20"/>
        </w:rPr>
        <w:t>to,</w:t>
      </w:r>
      <w:r>
        <w:rPr>
          <w:spacing w:val="-4"/>
          <w:sz w:val="20"/>
        </w:rPr>
        <w:t xml:space="preserve"> </w:t>
      </w:r>
      <w:r>
        <w:rPr>
          <w:sz w:val="20"/>
        </w:rPr>
        <w:t>or</w:t>
      </w:r>
      <w:r>
        <w:rPr>
          <w:spacing w:val="-9"/>
          <w:sz w:val="20"/>
        </w:rPr>
        <w:t xml:space="preserve"> </w:t>
      </w:r>
      <w:r>
        <w:rPr>
          <w:sz w:val="20"/>
        </w:rPr>
        <w:t>attempt</w:t>
      </w:r>
      <w:r>
        <w:rPr>
          <w:spacing w:val="-5"/>
          <w:sz w:val="20"/>
        </w:rPr>
        <w:t xml:space="preserve"> </w:t>
      </w:r>
      <w:r>
        <w:rPr>
          <w:sz w:val="20"/>
        </w:rPr>
        <w:t>to</w:t>
      </w:r>
      <w:r>
        <w:rPr>
          <w:spacing w:val="-7"/>
          <w:sz w:val="20"/>
        </w:rPr>
        <w:t xml:space="preserve"> </w:t>
      </w:r>
      <w:r>
        <w:rPr>
          <w:sz w:val="20"/>
        </w:rPr>
        <w:t>modify,</w:t>
      </w:r>
      <w:r>
        <w:rPr>
          <w:spacing w:val="-9"/>
          <w:sz w:val="20"/>
        </w:rPr>
        <w:t xml:space="preserve"> </w:t>
      </w:r>
      <w:r>
        <w:rPr>
          <w:sz w:val="20"/>
        </w:rPr>
        <w:t>the</w:t>
      </w:r>
      <w:r>
        <w:rPr>
          <w:spacing w:val="-7"/>
          <w:sz w:val="20"/>
        </w:rPr>
        <w:t xml:space="preserve"> </w:t>
      </w:r>
      <w:r>
        <w:rPr>
          <w:sz w:val="20"/>
        </w:rPr>
        <w:t>core</w:t>
      </w:r>
      <w:r>
        <w:rPr>
          <w:spacing w:val="-10"/>
          <w:sz w:val="20"/>
        </w:rPr>
        <w:t xml:space="preserve"> </w:t>
      </w:r>
      <w:r>
        <w:rPr>
          <w:sz w:val="20"/>
        </w:rPr>
        <w:t>provisions</w:t>
      </w:r>
      <w:r>
        <w:rPr>
          <w:spacing w:val="-8"/>
          <w:sz w:val="20"/>
        </w:rPr>
        <w:t xml:space="preserve"> </w:t>
      </w:r>
      <w:r>
        <w:rPr>
          <w:sz w:val="20"/>
        </w:rPr>
        <w:t>of</w:t>
      </w:r>
      <w:r>
        <w:rPr>
          <w:spacing w:val="-9"/>
          <w:sz w:val="20"/>
        </w:rPr>
        <w:t xml:space="preserve"> </w:t>
      </w:r>
      <w:r>
        <w:rPr>
          <w:sz w:val="20"/>
        </w:rPr>
        <w:t xml:space="preserve">the </w:t>
      </w:r>
      <w:proofErr w:type="gramStart"/>
      <w:r>
        <w:rPr>
          <w:sz w:val="20"/>
        </w:rPr>
        <w:t>CTRAs;</w:t>
      </w:r>
      <w:proofErr w:type="gramEnd"/>
    </w:p>
    <w:p w14:paraId="336CD8FB" w14:textId="77777777" w:rsidR="00432C8A" w:rsidRDefault="00432C8A">
      <w:pPr>
        <w:pStyle w:val="BodyText"/>
        <w:spacing w:before="9"/>
        <w:rPr>
          <w:sz w:val="19"/>
        </w:rPr>
      </w:pPr>
    </w:p>
    <w:p w14:paraId="71CCEB6C" w14:textId="77777777" w:rsidR="00432C8A" w:rsidRDefault="000E71D5">
      <w:pPr>
        <w:pStyle w:val="ListParagraph"/>
        <w:numPr>
          <w:ilvl w:val="0"/>
          <w:numId w:val="1"/>
        </w:numPr>
        <w:tabs>
          <w:tab w:val="left" w:pos="657"/>
          <w:tab w:val="left" w:pos="658"/>
        </w:tabs>
        <w:spacing w:before="1"/>
        <w:ind w:left="656" w:right="577" w:hanging="539"/>
        <w:rPr>
          <w:sz w:val="20"/>
        </w:rPr>
      </w:pPr>
      <w:r>
        <w:rPr>
          <w:sz w:val="20"/>
        </w:rPr>
        <w:t>seek</w:t>
      </w:r>
      <w:r>
        <w:rPr>
          <w:spacing w:val="-11"/>
          <w:sz w:val="20"/>
        </w:rPr>
        <w:t xml:space="preserve"> </w:t>
      </w:r>
      <w:r>
        <w:rPr>
          <w:spacing w:val="2"/>
          <w:sz w:val="20"/>
        </w:rPr>
        <w:t>to</w:t>
      </w:r>
      <w:r>
        <w:rPr>
          <w:spacing w:val="-10"/>
          <w:sz w:val="20"/>
        </w:rPr>
        <w:t xml:space="preserve"> </w:t>
      </w:r>
      <w:r>
        <w:rPr>
          <w:sz w:val="20"/>
        </w:rPr>
        <w:t>delete</w:t>
      </w:r>
      <w:r>
        <w:rPr>
          <w:spacing w:val="-8"/>
          <w:sz w:val="20"/>
        </w:rPr>
        <w:t xml:space="preserve"> </w:t>
      </w:r>
      <w:r>
        <w:rPr>
          <w:sz w:val="20"/>
        </w:rPr>
        <w:t>or</w:t>
      </w:r>
      <w:r>
        <w:rPr>
          <w:spacing w:val="-10"/>
          <w:sz w:val="20"/>
        </w:rPr>
        <w:t xml:space="preserve"> </w:t>
      </w:r>
      <w:r>
        <w:rPr>
          <w:sz w:val="20"/>
        </w:rPr>
        <w:t>substantially</w:t>
      </w:r>
      <w:r>
        <w:rPr>
          <w:spacing w:val="-10"/>
          <w:sz w:val="20"/>
        </w:rPr>
        <w:t xml:space="preserve"> </w:t>
      </w:r>
      <w:r>
        <w:rPr>
          <w:sz w:val="20"/>
        </w:rPr>
        <w:t>modify</w:t>
      </w:r>
      <w:r>
        <w:rPr>
          <w:spacing w:val="-10"/>
          <w:sz w:val="20"/>
        </w:rPr>
        <w:t xml:space="preserve"> </w:t>
      </w:r>
      <w:r>
        <w:rPr>
          <w:sz w:val="20"/>
        </w:rPr>
        <w:t>the</w:t>
      </w:r>
      <w:r>
        <w:rPr>
          <w:spacing w:val="-11"/>
          <w:sz w:val="20"/>
        </w:rPr>
        <w:t xml:space="preserve"> </w:t>
      </w:r>
      <w:r>
        <w:rPr>
          <w:sz w:val="20"/>
        </w:rPr>
        <w:t>essent</w:t>
      </w:r>
      <w:r>
        <w:rPr>
          <w:sz w:val="20"/>
        </w:rPr>
        <w:t>ial</w:t>
      </w:r>
      <w:r>
        <w:rPr>
          <w:spacing w:val="-5"/>
          <w:sz w:val="20"/>
        </w:rPr>
        <w:t xml:space="preserve"> </w:t>
      </w:r>
      <w:r>
        <w:rPr>
          <w:sz w:val="20"/>
        </w:rPr>
        <w:t>clauses</w:t>
      </w:r>
      <w:r>
        <w:rPr>
          <w:spacing w:val="-8"/>
          <w:sz w:val="20"/>
        </w:rPr>
        <w:t xml:space="preserve"> </w:t>
      </w:r>
      <w:r>
        <w:rPr>
          <w:sz w:val="20"/>
        </w:rPr>
        <w:t>of</w:t>
      </w:r>
      <w:r>
        <w:rPr>
          <w:spacing w:val="-10"/>
          <w:sz w:val="20"/>
        </w:rPr>
        <w:t xml:space="preserve"> </w:t>
      </w:r>
      <w:r>
        <w:rPr>
          <w:sz w:val="20"/>
        </w:rPr>
        <w:t>the</w:t>
      </w:r>
      <w:r>
        <w:rPr>
          <w:spacing w:val="-11"/>
          <w:sz w:val="20"/>
        </w:rPr>
        <w:t xml:space="preserve"> </w:t>
      </w:r>
      <w:r>
        <w:rPr>
          <w:sz w:val="20"/>
        </w:rPr>
        <w:t>CTRAs. These include the provisions surrounding Publication, Confidentiality, Intellectual Property, Governing Law and</w:t>
      </w:r>
      <w:r>
        <w:rPr>
          <w:spacing w:val="-51"/>
          <w:sz w:val="20"/>
        </w:rPr>
        <w:t xml:space="preserve"> </w:t>
      </w:r>
      <w:proofErr w:type="gramStart"/>
      <w:r>
        <w:rPr>
          <w:sz w:val="20"/>
        </w:rPr>
        <w:t>Termination;</w:t>
      </w:r>
      <w:proofErr w:type="gramEnd"/>
    </w:p>
    <w:p w14:paraId="5D70910F" w14:textId="77777777" w:rsidR="00432C8A" w:rsidRDefault="00432C8A">
      <w:pPr>
        <w:pStyle w:val="BodyText"/>
        <w:spacing w:before="11"/>
        <w:rPr>
          <w:sz w:val="19"/>
        </w:rPr>
      </w:pPr>
    </w:p>
    <w:p w14:paraId="4279CBFC" w14:textId="77777777" w:rsidR="00432C8A" w:rsidRDefault="000E71D5">
      <w:pPr>
        <w:pStyle w:val="ListParagraph"/>
        <w:numPr>
          <w:ilvl w:val="0"/>
          <w:numId w:val="1"/>
        </w:numPr>
        <w:tabs>
          <w:tab w:val="left" w:pos="657"/>
          <w:tab w:val="left" w:pos="658"/>
        </w:tabs>
        <w:ind w:hanging="541"/>
        <w:rPr>
          <w:sz w:val="20"/>
        </w:rPr>
      </w:pPr>
      <w:r>
        <w:rPr>
          <w:sz w:val="20"/>
        </w:rPr>
        <w:t>merely</w:t>
      </w:r>
      <w:r>
        <w:rPr>
          <w:spacing w:val="-12"/>
          <w:sz w:val="20"/>
        </w:rPr>
        <w:t xml:space="preserve"> </w:t>
      </w:r>
      <w:r>
        <w:rPr>
          <w:sz w:val="20"/>
        </w:rPr>
        <w:t>restate</w:t>
      </w:r>
      <w:r>
        <w:rPr>
          <w:spacing w:val="-7"/>
          <w:sz w:val="20"/>
        </w:rPr>
        <w:t xml:space="preserve"> </w:t>
      </w:r>
      <w:r>
        <w:rPr>
          <w:sz w:val="20"/>
        </w:rPr>
        <w:t>(or</w:t>
      </w:r>
      <w:r>
        <w:rPr>
          <w:spacing w:val="-10"/>
          <w:sz w:val="20"/>
        </w:rPr>
        <w:t xml:space="preserve"> </w:t>
      </w:r>
      <w:r>
        <w:rPr>
          <w:sz w:val="20"/>
        </w:rPr>
        <w:t>“wordsmith”)</w:t>
      </w:r>
      <w:r>
        <w:rPr>
          <w:spacing w:val="-9"/>
          <w:sz w:val="20"/>
        </w:rPr>
        <w:t xml:space="preserve"> </w:t>
      </w:r>
      <w:r>
        <w:rPr>
          <w:sz w:val="20"/>
        </w:rPr>
        <w:t>the</w:t>
      </w:r>
      <w:r>
        <w:rPr>
          <w:spacing w:val="-12"/>
          <w:sz w:val="20"/>
        </w:rPr>
        <w:t xml:space="preserve"> </w:t>
      </w:r>
      <w:r>
        <w:rPr>
          <w:sz w:val="20"/>
        </w:rPr>
        <w:t>existing</w:t>
      </w:r>
      <w:r>
        <w:rPr>
          <w:spacing w:val="-9"/>
          <w:sz w:val="20"/>
        </w:rPr>
        <w:t xml:space="preserve"> </w:t>
      </w:r>
      <w:r>
        <w:rPr>
          <w:sz w:val="20"/>
        </w:rPr>
        <w:t>provisions</w:t>
      </w:r>
      <w:r>
        <w:rPr>
          <w:spacing w:val="-11"/>
          <w:sz w:val="20"/>
        </w:rPr>
        <w:t xml:space="preserve"> </w:t>
      </w:r>
      <w:r>
        <w:rPr>
          <w:sz w:val="20"/>
        </w:rPr>
        <w:t>of</w:t>
      </w:r>
      <w:r>
        <w:rPr>
          <w:spacing w:val="-9"/>
          <w:sz w:val="20"/>
        </w:rPr>
        <w:t xml:space="preserve"> </w:t>
      </w:r>
      <w:r>
        <w:rPr>
          <w:sz w:val="20"/>
        </w:rPr>
        <w:t>the</w:t>
      </w:r>
      <w:r>
        <w:rPr>
          <w:spacing w:val="-11"/>
          <w:sz w:val="20"/>
        </w:rPr>
        <w:t xml:space="preserve"> </w:t>
      </w:r>
      <w:proofErr w:type="gramStart"/>
      <w:r>
        <w:rPr>
          <w:sz w:val="20"/>
        </w:rPr>
        <w:t>CTRAs;</w:t>
      </w:r>
      <w:proofErr w:type="gramEnd"/>
    </w:p>
    <w:p w14:paraId="55934CBA" w14:textId="77777777" w:rsidR="00432C8A" w:rsidRDefault="00432C8A">
      <w:pPr>
        <w:pStyle w:val="BodyText"/>
        <w:spacing w:before="1"/>
      </w:pPr>
    </w:p>
    <w:p w14:paraId="0EF34EAB" w14:textId="77777777" w:rsidR="00432C8A" w:rsidRDefault="000E71D5">
      <w:pPr>
        <w:pStyle w:val="ListParagraph"/>
        <w:numPr>
          <w:ilvl w:val="0"/>
          <w:numId w:val="1"/>
        </w:numPr>
        <w:tabs>
          <w:tab w:val="left" w:pos="657"/>
          <w:tab w:val="left" w:pos="658"/>
        </w:tabs>
        <w:ind w:hanging="541"/>
        <w:rPr>
          <w:sz w:val="20"/>
        </w:rPr>
      </w:pPr>
      <w:r>
        <w:rPr>
          <w:sz w:val="20"/>
        </w:rPr>
        <w:t>seek</w:t>
      </w:r>
      <w:r>
        <w:rPr>
          <w:spacing w:val="-10"/>
          <w:sz w:val="20"/>
        </w:rPr>
        <w:t xml:space="preserve"> </w:t>
      </w:r>
      <w:r>
        <w:rPr>
          <w:sz w:val="20"/>
        </w:rPr>
        <w:t>to</w:t>
      </w:r>
      <w:r>
        <w:rPr>
          <w:spacing w:val="-7"/>
          <w:sz w:val="20"/>
        </w:rPr>
        <w:t xml:space="preserve"> </w:t>
      </w:r>
      <w:r>
        <w:rPr>
          <w:sz w:val="20"/>
        </w:rPr>
        <w:t>override</w:t>
      </w:r>
      <w:r>
        <w:rPr>
          <w:spacing w:val="-9"/>
          <w:sz w:val="20"/>
        </w:rPr>
        <w:t xml:space="preserve"> </w:t>
      </w:r>
      <w:r>
        <w:rPr>
          <w:sz w:val="20"/>
        </w:rPr>
        <w:t>the</w:t>
      </w:r>
      <w:r>
        <w:rPr>
          <w:spacing w:val="-10"/>
          <w:sz w:val="20"/>
        </w:rPr>
        <w:t xml:space="preserve"> </w:t>
      </w:r>
      <w:r>
        <w:rPr>
          <w:sz w:val="20"/>
        </w:rPr>
        <w:t>applicability</w:t>
      </w:r>
      <w:r>
        <w:rPr>
          <w:spacing w:val="-9"/>
          <w:sz w:val="20"/>
        </w:rPr>
        <w:t xml:space="preserve"> </w:t>
      </w:r>
      <w:r>
        <w:rPr>
          <w:sz w:val="20"/>
        </w:rPr>
        <w:t>of</w:t>
      </w:r>
      <w:r>
        <w:rPr>
          <w:spacing w:val="-9"/>
          <w:sz w:val="20"/>
        </w:rPr>
        <w:t xml:space="preserve"> </w:t>
      </w:r>
      <w:r>
        <w:rPr>
          <w:sz w:val="20"/>
        </w:rPr>
        <w:t>the</w:t>
      </w:r>
      <w:r>
        <w:rPr>
          <w:spacing w:val="-10"/>
          <w:sz w:val="20"/>
        </w:rPr>
        <w:t xml:space="preserve"> </w:t>
      </w:r>
      <w:proofErr w:type="gramStart"/>
      <w:r>
        <w:rPr>
          <w:sz w:val="20"/>
        </w:rPr>
        <w:t>CTRAs;</w:t>
      </w:r>
      <w:proofErr w:type="gramEnd"/>
    </w:p>
    <w:p w14:paraId="271DBA75" w14:textId="77777777" w:rsidR="00432C8A" w:rsidRDefault="00432C8A">
      <w:pPr>
        <w:pStyle w:val="BodyText"/>
        <w:spacing w:before="11"/>
        <w:rPr>
          <w:sz w:val="19"/>
        </w:rPr>
      </w:pPr>
    </w:p>
    <w:p w14:paraId="3A86E728" w14:textId="77777777" w:rsidR="00432C8A" w:rsidRDefault="000E71D5">
      <w:pPr>
        <w:pStyle w:val="ListParagraph"/>
        <w:numPr>
          <w:ilvl w:val="0"/>
          <w:numId w:val="1"/>
        </w:numPr>
        <w:tabs>
          <w:tab w:val="left" w:pos="657"/>
          <w:tab w:val="left" w:pos="658"/>
        </w:tabs>
        <w:ind w:right="196"/>
        <w:rPr>
          <w:sz w:val="20"/>
        </w:rPr>
      </w:pPr>
      <w:r>
        <w:rPr>
          <w:sz w:val="20"/>
        </w:rPr>
        <w:t>are contrary to government insurance arrangements or seek to require the Institution</w:t>
      </w:r>
      <w:r>
        <w:rPr>
          <w:spacing w:val="-10"/>
          <w:sz w:val="20"/>
        </w:rPr>
        <w:t xml:space="preserve"> </w:t>
      </w:r>
      <w:r>
        <w:rPr>
          <w:sz w:val="20"/>
        </w:rPr>
        <w:t>to</w:t>
      </w:r>
      <w:r>
        <w:rPr>
          <w:spacing w:val="-11"/>
          <w:sz w:val="20"/>
        </w:rPr>
        <w:t xml:space="preserve"> </w:t>
      </w:r>
      <w:r>
        <w:rPr>
          <w:sz w:val="20"/>
        </w:rPr>
        <w:t>have</w:t>
      </w:r>
      <w:r>
        <w:rPr>
          <w:spacing w:val="-9"/>
          <w:sz w:val="20"/>
        </w:rPr>
        <w:t xml:space="preserve"> </w:t>
      </w:r>
      <w:r>
        <w:rPr>
          <w:sz w:val="20"/>
        </w:rPr>
        <w:t>certain</w:t>
      </w:r>
      <w:r>
        <w:rPr>
          <w:spacing w:val="-9"/>
          <w:sz w:val="20"/>
        </w:rPr>
        <w:t xml:space="preserve"> </w:t>
      </w:r>
      <w:r>
        <w:rPr>
          <w:sz w:val="20"/>
        </w:rPr>
        <w:t>types</w:t>
      </w:r>
      <w:r>
        <w:rPr>
          <w:spacing w:val="-11"/>
          <w:sz w:val="20"/>
        </w:rPr>
        <w:t xml:space="preserve"> </w:t>
      </w:r>
      <w:r>
        <w:rPr>
          <w:sz w:val="20"/>
        </w:rPr>
        <w:t>of</w:t>
      </w:r>
      <w:r>
        <w:rPr>
          <w:spacing w:val="-9"/>
          <w:sz w:val="20"/>
        </w:rPr>
        <w:t xml:space="preserve"> </w:t>
      </w:r>
      <w:r>
        <w:rPr>
          <w:sz w:val="20"/>
        </w:rPr>
        <w:t>insurance.</w:t>
      </w:r>
      <w:r>
        <w:rPr>
          <w:spacing w:val="-12"/>
          <w:sz w:val="20"/>
        </w:rPr>
        <w:t xml:space="preserve"> </w:t>
      </w:r>
      <w:r>
        <w:rPr>
          <w:sz w:val="20"/>
        </w:rPr>
        <w:t>All</w:t>
      </w:r>
      <w:r>
        <w:rPr>
          <w:spacing w:val="-5"/>
          <w:sz w:val="20"/>
        </w:rPr>
        <w:t xml:space="preserve"> </w:t>
      </w:r>
      <w:r>
        <w:rPr>
          <w:sz w:val="20"/>
        </w:rPr>
        <w:t>Public</w:t>
      </w:r>
      <w:r>
        <w:rPr>
          <w:spacing w:val="-11"/>
          <w:sz w:val="20"/>
        </w:rPr>
        <w:t xml:space="preserve"> </w:t>
      </w:r>
      <w:r>
        <w:rPr>
          <w:sz w:val="20"/>
        </w:rPr>
        <w:t>Health</w:t>
      </w:r>
      <w:r>
        <w:rPr>
          <w:spacing w:val="-9"/>
          <w:sz w:val="20"/>
        </w:rPr>
        <w:t xml:space="preserve"> </w:t>
      </w:r>
      <w:r>
        <w:rPr>
          <w:sz w:val="20"/>
        </w:rPr>
        <w:t>Institutions</w:t>
      </w:r>
      <w:r>
        <w:rPr>
          <w:spacing w:val="-11"/>
          <w:sz w:val="20"/>
        </w:rPr>
        <w:t xml:space="preserve"> </w:t>
      </w:r>
      <w:r>
        <w:rPr>
          <w:spacing w:val="2"/>
          <w:sz w:val="20"/>
        </w:rPr>
        <w:t xml:space="preserve">in </w:t>
      </w:r>
      <w:r>
        <w:rPr>
          <w:sz w:val="20"/>
        </w:rPr>
        <w:t>Australia have standard insurance arrangements that apply to the whole o</w:t>
      </w:r>
      <w:r>
        <w:rPr>
          <w:sz w:val="20"/>
        </w:rPr>
        <w:t>f the Government sector for each State;</w:t>
      </w:r>
      <w:r>
        <w:rPr>
          <w:spacing w:val="-48"/>
          <w:sz w:val="20"/>
        </w:rPr>
        <w:t xml:space="preserve"> </w:t>
      </w:r>
      <w:r>
        <w:rPr>
          <w:sz w:val="20"/>
        </w:rPr>
        <w:t>and/or</w:t>
      </w:r>
    </w:p>
    <w:p w14:paraId="645EBC66" w14:textId="77777777" w:rsidR="00432C8A" w:rsidRDefault="00432C8A">
      <w:pPr>
        <w:pStyle w:val="BodyText"/>
        <w:spacing w:before="11"/>
        <w:rPr>
          <w:sz w:val="19"/>
        </w:rPr>
      </w:pPr>
    </w:p>
    <w:p w14:paraId="216E9137" w14:textId="77777777" w:rsidR="00432C8A" w:rsidRDefault="000E71D5">
      <w:pPr>
        <w:pStyle w:val="ListParagraph"/>
        <w:numPr>
          <w:ilvl w:val="0"/>
          <w:numId w:val="1"/>
        </w:numPr>
        <w:tabs>
          <w:tab w:val="left" w:pos="657"/>
          <w:tab w:val="left" w:pos="658"/>
        </w:tabs>
        <w:ind w:right="1506"/>
        <w:rPr>
          <w:sz w:val="20"/>
        </w:rPr>
      </w:pPr>
      <w:r>
        <w:rPr>
          <w:sz w:val="20"/>
        </w:rPr>
        <w:t>involve</w:t>
      </w:r>
      <w:r>
        <w:rPr>
          <w:spacing w:val="-13"/>
          <w:sz w:val="20"/>
        </w:rPr>
        <w:t xml:space="preserve"> </w:t>
      </w:r>
      <w:r>
        <w:rPr>
          <w:sz w:val="20"/>
        </w:rPr>
        <w:t>the</w:t>
      </w:r>
      <w:r>
        <w:rPr>
          <w:spacing w:val="-10"/>
          <w:sz w:val="20"/>
        </w:rPr>
        <w:t xml:space="preserve"> </w:t>
      </w:r>
      <w:r>
        <w:rPr>
          <w:sz w:val="20"/>
        </w:rPr>
        <w:t>Medicines</w:t>
      </w:r>
      <w:r>
        <w:rPr>
          <w:spacing w:val="-9"/>
          <w:sz w:val="20"/>
        </w:rPr>
        <w:t xml:space="preserve"> </w:t>
      </w:r>
      <w:r>
        <w:rPr>
          <w:sz w:val="20"/>
        </w:rPr>
        <w:t>Australia</w:t>
      </w:r>
      <w:r>
        <w:rPr>
          <w:spacing w:val="-8"/>
          <w:sz w:val="20"/>
        </w:rPr>
        <w:t xml:space="preserve"> </w:t>
      </w:r>
      <w:r>
        <w:rPr>
          <w:sz w:val="20"/>
        </w:rPr>
        <w:t>forms</w:t>
      </w:r>
      <w:r>
        <w:rPr>
          <w:spacing w:val="-7"/>
          <w:sz w:val="20"/>
        </w:rPr>
        <w:t xml:space="preserve"> </w:t>
      </w:r>
      <w:r>
        <w:rPr>
          <w:sz w:val="20"/>
        </w:rPr>
        <w:t>of</w:t>
      </w:r>
      <w:r>
        <w:rPr>
          <w:spacing w:val="-11"/>
          <w:sz w:val="20"/>
        </w:rPr>
        <w:t xml:space="preserve"> </w:t>
      </w:r>
      <w:r>
        <w:rPr>
          <w:sz w:val="20"/>
        </w:rPr>
        <w:t>indemnity</w:t>
      </w:r>
      <w:r>
        <w:rPr>
          <w:spacing w:val="-9"/>
          <w:sz w:val="20"/>
        </w:rPr>
        <w:t xml:space="preserve"> </w:t>
      </w:r>
      <w:r>
        <w:rPr>
          <w:sz w:val="20"/>
        </w:rPr>
        <w:t>that</w:t>
      </w:r>
      <w:r>
        <w:rPr>
          <w:spacing w:val="-8"/>
          <w:sz w:val="20"/>
        </w:rPr>
        <w:t xml:space="preserve"> </w:t>
      </w:r>
      <w:r>
        <w:rPr>
          <w:sz w:val="20"/>
        </w:rPr>
        <w:t>apply</w:t>
      </w:r>
      <w:r>
        <w:rPr>
          <w:spacing w:val="-11"/>
          <w:sz w:val="20"/>
        </w:rPr>
        <w:t xml:space="preserve"> </w:t>
      </w:r>
      <w:r>
        <w:rPr>
          <w:sz w:val="20"/>
        </w:rPr>
        <w:t>to commercially sponsored</w:t>
      </w:r>
      <w:r>
        <w:rPr>
          <w:spacing w:val="-34"/>
          <w:sz w:val="20"/>
        </w:rPr>
        <w:t xml:space="preserve"> </w:t>
      </w:r>
      <w:r>
        <w:rPr>
          <w:sz w:val="20"/>
        </w:rPr>
        <w:t>research.</w:t>
      </w:r>
    </w:p>
    <w:p w14:paraId="29C59DA2" w14:textId="77777777" w:rsidR="00432C8A" w:rsidRDefault="00432C8A">
      <w:pPr>
        <w:pStyle w:val="BodyText"/>
      </w:pPr>
    </w:p>
    <w:p w14:paraId="1D3D219A" w14:textId="204AF549" w:rsidR="00432C8A" w:rsidRDefault="000E71D5">
      <w:pPr>
        <w:pStyle w:val="BodyText"/>
        <w:ind w:left="117" w:right="412"/>
      </w:pPr>
      <w:r>
        <w:t xml:space="preserve">A request template for amendment of a CTRA has been developed by the </w:t>
      </w:r>
      <w:proofErr w:type="spellStart"/>
      <w:r w:rsidR="005C53A9">
        <w:t>NaCTA</w:t>
      </w:r>
      <w:proofErr w:type="spellEnd"/>
      <w:r>
        <w:t xml:space="preserve"> panel, which is available on the Medicines Australia </w:t>
      </w:r>
      <w:hyperlink r:id="rId7">
        <w:r>
          <w:rPr>
            <w:color w:val="0000FF"/>
            <w:u w:val="single" w:color="0000FF"/>
          </w:rPr>
          <w:t>website</w:t>
        </w:r>
      </w:hyperlink>
      <w:r>
        <w:t>.</w:t>
      </w:r>
    </w:p>
    <w:p w14:paraId="4D3ECAF0" w14:textId="77777777" w:rsidR="00432C8A" w:rsidRDefault="00432C8A">
      <w:pPr>
        <w:pStyle w:val="BodyText"/>
        <w:spacing w:before="8"/>
        <w:rPr>
          <w:sz w:val="11"/>
        </w:rPr>
      </w:pPr>
    </w:p>
    <w:p w14:paraId="7CFC49A7" w14:textId="77777777" w:rsidR="00432C8A" w:rsidRDefault="000E71D5">
      <w:pPr>
        <w:pStyle w:val="BodyText"/>
        <w:spacing w:before="99"/>
        <w:ind w:left="120" w:right="382"/>
      </w:pPr>
      <w:r>
        <w:t>The completed template to request CTRA Schedule 7 or 4 special conditions should initially be submitted to the nominated representative. One jurisdiction member will be appointed as the liaison officer for each request</w:t>
      </w:r>
      <w:r>
        <w:t xml:space="preserve">. The Sponsor/Local Sponsor requesting the contract variation will be informed that a jurisdiction representative will be </w:t>
      </w:r>
      <w:r>
        <w:rPr>
          <w:spacing w:val="2"/>
        </w:rPr>
        <w:t>in</w:t>
      </w:r>
      <w:r>
        <w:rPr>
          <w:spacing w:val="-50"/>
        </w:rPr>
        <w:t xml:space="preserve"> </w:t>
      </w:r>
      <w:r>
        <w:t>contact.</w:t>
      </w:r>
    </w:p>
    <w:p w14:paraId="75A27E28" w14:textId="77777777" w:rsidR="00432C8A" w:rsidRDefault="00432C8A">
      <w:pPr>
        <w:pStyle w:val="BodyText"/>
        <w:spacing w:before="11"/>
        <w:rPr>
          <w:sz w:val="19"/>
        </w:rPr>
      </w:pPr>
    </w:p>
    <w:p w14:paraId="75CEB359" w14:textId="75CCED3B" w:rsidR="00432C8A" w:rsidRDefault="000E71D5">
      <w:pPr>
        <w:pStyle w:val="BodyText"/>
        <w:ind w:left="120" w:right="111"/>
      </w:pPr>
      <w:r>
        <w:t xml:space="preserve">The </w:t>
      </w:r>
      <w:proofErr w:type="spellStart"/>
      <w:r w:rsidR="005C53A9">
        <w:t>NaCTA</w:t>
      </w:r>
      <w:proofErr w:type="spellEnd"/>
      <w:r>
        <w:t xml:space="preserve"> panel meets monthly to consider the CTRA variation requests. These should be submitted by COB on the Monday 9 da</w:t>
      </w:r>
      <w:r>
        <w:t>ys prior to the meeting. Meetings are held on the Wednesday of the following week, to ensure that the request can be included on the panel’s agenda.</w:t>
      </w:r>
    </w:p>
    <w:p w14:paraId="15C3500D" w14:textId="77777777" w:rsidR="00432C8A" w:rsidRDefault="00432C8A">
      <w:pPr>
        <w:sectPr w:rsidR="00432C8A">
          <w:headerReference w:type="default" r:id="rId8"/>
          <w:footerReference w:type="default" r:id="rId9"/>
          <w:type w:val="continuous"/>
          <w:pgSz w:w="11910" w:h="16850"/>
          <w:pgMar w:top="1660" w:right="1680" w:bottom="980" w:left="1680" w:header="1425" w:footer="787" w:gutter="0"/>
          <w:pgNumType w:start="1"/>
          <w:cols w:space="720"/>
        </w:sectPr>
      </w:pPr>
    </w:p>
    <w:p w14:paraId="00E2B9CD" w14:textId="77777777" w:rsidR="00432C8A" w:rsidRDefault="00432C8A">
      <w:pPr>
        <w:pStyle w:val="BodyText"/>
        <w:spacing w:before="1"/>
        <w:rPr>
          <w:sz w:val="11"/>
        </w:rPr>
      </w:pPr>
    </w:p>
    <w:p w14:paraId="345C6FB0" w14:textId="79168A64" w:rsidR="000E71D5" w:rsidRPr="000E71D5" w:rsidRDefault="000E71D5">
      <w:pPr>
        <w:pStyle w:val="BodyText"/>
        <w:spacing w:before="99"/>
        <w:ind w:left="300" w:right="813"/>
        <w:rPr>
          <w:b/>
          <w:bCs/>
        </w:rPr>
      </w:pPr>
      <w:bookmarkStart w:id="2" w:name="SEBS_Deliberation"/>
      <w:bookmarkEnd w:id="2"/>
      <w:proofErr w:type="spellStart"/>
      <w:r w:rsidRPr="000E71D5">
        <w:rPr>
          <w:b/>
          <w:bCs/>
        </w:rPr>
        <w:t>NaCTA</w:t>
      </w:r>
      <w:proofErr w:type="spellEnd"/>
      <w:r w:rsidRPr="000E71D5">
        <w:rPr>
          <w:b/>
          <w:bCs/>
        </w:rPr>
        <w:t xml:space="preserve"> Review</w:t>
      </w:r>
    </w:p>
    <w:p w14:paraId="14FE8DFF" w14:textId="59357A0B" w:rsidR="00432C8A" w:rsidRDefault="000E71D5">
      <w:pPr>
        <w:pStyle w:val="BodyText"/>
        <w:spacing w:before="99"/>
        <w:ind w:left="300" w:right="813"/>
      </w:pPr>
      <w:r>
        <w:t xml:space="preserve">The </w:t>
      </w:r>
      <w:proofErr w:type="spellStart"/>
      <w:r w:rsidR="005C53A9">
        <w:t>NaCTA</w:t>
      </w:r>
      <w:proofErr w:type="spellEnd"/>
      <w:r>
        <w:t xml:space="preserve"> panel will only provide advice on non-legal issues that relate to consistency with the content of CTRAs.</w:t>
      </w:r>
    </w:p>
    <w:p w14:paraId="049A1CAC" w14:textId="77777777" w:rsidR="00432C8A" w:rsidRDefault="00432C8A">
      <w:pPr>
        <w:pStyle w:val="BodyText"/>
        <w:spacing w:before="10"/>
        <w:rPr>
          <w:sz w:val="19"/>
        </w:rPr>
      </w:pPr>
    </w:p>
    <w:p w14:paraId="274AB7D5" w14:textId="418FA484" w:rsidR="00432C8A" w:rsidRDefault="000E71D5">
      <w:pPr>
        <w:pStyle w:val="BodyText"/>
        <w:spacing w:before="1"/>
        <w:ind w:left="299" w:right="234"/>
      </w:pPr>
      <w:r>
        <w:rPr>
          <w:spacing w:val="-3"/>
        </w:rPr>
        <w:t xml:space="preserve">If </w:t>
      </w:r>
      <w:r>
        <w:t xml:space="preserve">the requesting party requires changes that need legal analysis or advice, </w:t>
      </w:r>
      <w:proofErr w:type="spellStart"/>
      <w:r w:rsidR="005C53A9">
        <w:t>NaCTA</w:t>
      </w:r>
      <w:proofErr w:type="spellEnd"/>
      <w:r>
        <w:rPr>
          <w:spacing w:val="-7"/>
        </w:rPr>
        <w:t xml:space="preserve"> </w:t>
      </w:r>
      <w:r>
        <w:t>will</w:t>
      </w:r>
      <w:r>
        <w:rPr>
          <w:spacing w:val="-4"/>
        </w:rPr>
        <w:t xml:space="preserve"> </w:t>
      </w:r>
      <w:r>
        <w:t>notify</w:t>
      </w:r>
      <w:r>
        <w:rPr>
          <w:spacing w:val="-11"/>
        </w:rPr>
        <w:t xml:space="preserve"> </w:t>
      </w:r>
      <w:r>
        <w:t>and</w:t>
      </w:r>
      <w:r>
        <w:rPr>
          <w:spacing w:val="-6"/>
        </w:rPr>
        <w:t xml:space="preserve"> </w:t>
      </w:r>
      <w:r>
        <w:t>ask</w:t>
      </w:r>
      <w:r>
        <w:rPr>
          <w:spacing w:val="-7"/>
        </w:rPr>
        <w:t xml:space="preserve"> </w:t>
      </w:r>
      <w:r>
        <w:t>the</w:t>
      </w:r>
      <w:r>
        <w:rPr>
          <w:spacing w:val="-7"/>
        </w:rPr>
        <w:t xml:space="preserve"> </w:t>
      </w:r>
      <w:r>
        <w:t>requesting</w:t>
      </w:r>
      <w:r>
        <w:rPr>
          <w:spacing w:val="-9"/>
        </w:rPr>
        <w:t xml:space="preserve"> </w:t>
      </w:r>
      <w:r>
        <w:t>party</w:t>
      </w:r>
      <w:r>
        <w:rPr>
          <w:spacing w:val="-7"/>
        </w:rPr>
        <w:t xml:space="preserve"> </w:t>
      </w:r>
      <w:r>
        <w:t>to</w:t>
      </w:r>
      <w:r>
        <w:rPr>
          <w:spacing w:val="-7"/>
        </w:rPr>
        <w:t xml:space="preserve"> </w:t>
      </w:r>
      <w:r>
        <w:t>allow</w:t>
      </w:r>
      <w:r>
        <w:rPr>
          <w:spacing w:val="-9"/>
        </w:rPr>
        <w:t xml:space="preserve"> </w:t>
      </w:r>
      <w:proofErr w:type="spellStart"/>
      <w:r w:rsidR="005C53A9">
        <w:t>NaCTA</w:t>
      </w:r>
      <w:proofErr w:type="spellEnd"/>
      <w:r>
        <w:rPr>
          <w:spacing w:val="-7"/>
        </w:rPr>
        <w:t xml:space="preserve"> </w:t>
      </w:r>
      <w:r>
        <w:rPr>
          <w:spacing w:val="2"/>
        </w:rPr>
        <w:t>to</w:t>
      </w:r>
      <w:r>
        <w:rPr>
          <w:spacing w:val="-8"/>
        </w:rPr>
        <w:t xml:space="preserve"> </w:t>
      </w:r>
      <w:r>
        <w:t>seek</w:t>
      </w:r>
      <w:r>
        <w:rPr>
          <w:spacing w:val="-12"/>
        </w:rPr>
        <w:t xml:space="preserve"> </w:t>
      </w:r>
      <w:r>
        <w:rPr>
          <w:spacing w:val="-8"/>
        </w:rPr>
        <w:t>legal</w:t>
      </w:r>
      <w:r>
        <w:rPr>
          <w:spacing w:val="-21"/>
        </w:rPr>
        <w:t xml:space="preserve"> </w:t>
      </w:r>
      <w:r>
        <w:rPr>
          <w:spacing w:val="-9"/>
        </w:rPr>
        <w:t xml:space="preserve">advice from </w:t>
      </w:r>
      <w:r>
        <w:t xml:space="preserve">a </w:t>
      </w:r>
      <w:r>
        <w:rPr>
          <w:spacing w:val="-8"/>
        </w:rPr>
        <w:t xml:space="preserve">body </w:t>
      </w:r>
      <w:r>
        <w:t>that has relevant experience and has declared that no conflict of interest</w:t>
      </w:r>
      <w:r>
        <w:rPr>
          <w:spacing w:val="-4"/>
        </w:rPr>
        <w:t xml:space="preserve"> </w:t>
      </w:r>
      <w:r>
        <w:t>exists.</w:t>
      </w:r>
    </w:p>
    <w:p w14:paraId="787B3131" w14:textId="77777777" w:rsidR="00432C8A" w:rsidRDefault="00432C8A">
      <w:pPr>
        <w:pStyle w:val="BodyText"/>
        <w:spacing w:before="11"/>
        <w:rPr>
          <w:sz w:val="19"/>
        </w:rPr>
      </w:pPr>
    </w:p>
    <w:p w14:paraId="291B1FF2" w14:textId="7C8570A0" w:rsidR="00432C8A" w:rsidRDefault="000E71D5">
      <w:pPr>
        <w:pStyle w:val="BodyText"/>
        <w:ind w:left="300" w:right="193"/>
      </w:pPr>
      <w:r>
        <w:t xml:space="preserve">The requesting party may accept the quotation and payment for legal review or not. If accepted the requesting party will inform </w:t>
      </w:r>
      <w:proofErr w:type="spellStart"/>
      <w:r w:rsidR="005C53A9">
        <w:t>N</w:t>
      </w:r>
      <w:r>
        <w:t>a</w:t>
      </w:r>
      <w:r w:rsidR="005C53A9">
        <w:t>CTA</w:t>
      </w:r>
      <w:proofErr w:type="spellEnd"/>
      <w:r>
        <w:t xml:space="preserve"> to proceed to legal review.</w:t>
      </w:r>
    </w:p>
    <w:p w14:paraId="10A561CE" w14:textId="77777777" w:rsidR="00432C8A" w:rsidRDefault="00432C8A">
      <w:pPr>
        <w:pStyle w:val="BodyText"/>
        <w:spacing w:before="2"/>
      </w:pPr>
    </w:p>
    <w:p w14:paraId="33A5DBFA" w14:textId="263EB33F" w:rsidR="00432C8A" w:rsidRDefault="000E71D5">
      <w:pPr>
        <w:pStyle w:val="BodyText"/>
        <w:ind w:left="299" w:right="152"/>
      </w:pPr>
      <w:r>
        <w:t xml:space="preserve">The legal firm engaged by a </w:t>
      </w:r>
      <w:proofErr w:type="spellStart"/>
      <w:r w:rsidR="005C53A9">
        <w:t>NaCTA</w:t>
      </w:r>
      <w:proofErr w:type="spellEnd"/>
      <w:r>
        <w:t xml:space="preserve"> representative will then provide review of the </w:t>
      </w:r>
      <w:proofErr w:type="spellStart"/>
      <w:r w:rsidR="005C53A9">
        <w:t>NaCTA</w:t>
      </w:r>
      <w:proofErr w:type="spellEnd"/>
      <w:r>
        <w:t xml:space="preserve"> submissio</w:t>
      </w:r>
      <w:r>
        <w:t xml:space="preserve">n and advice to </w:t>
      </w:r>
      <w:proofErr w:type="spellStart"/>
      <w:r w:rsidR="005C53A9">
        <w:t>NaCTA</w:t>
      </w:r>
      <w:proofErr w:type="spellEnd"/>
      <w:r>
        <w:t>.</w:t>
      </w:r>
    </w:p>
    <w:p w14:paraId="7CF4CBE0" w14:textId="77777777" w:rsidR="00432C8A" w:rsidRDefault="00432C8A">
      <w:pPr>
        <w:pStyle w:val="BodyText"/>
        <w:spacing w:before="10"/>
        <w:rPr>
          <w:sz w:val="19"/>
        </w:rPr>
      </w:pPr>
    </w:p>
    <w:p w14:paraId="563E4A35" w14:textId="2A8CAA4D" w:rsidR="00432C8A" w:rsidRDefault="000E71D5">
      <w:pPr>
        <w:pStyle w:val="BodyText"/>
        <w:ind w:left="300" w:right="225"/>
      </w:pPr>
      <w:r>
        <w:t>It is the sole responsibility of the requesting party to pay for legal advice directly to the legal firm engaged to do the work. The requesting party will be responsible for payment of any subsequent legal advice as agreed. Subsequent</w:t>
      </w:r>
      <w:r>
        <w:t xml:space="preserve"> consideration by both </w:t>
      </w:r>
      <w:proofErr w:type="spellStart"/>
      <w:r w:rsidR="005C53A9">
        <w:t>NaCTA</w:t>
      </w:r>
      <w:proofErr w:type="spellEnd"/>
      <w:r>
        <w:t xml:space="preserve"> and the requesting party will occur until a mutual agreement is reached or not.</w:t>
      </w:r>
    </w:p>
    <w:p w14:paraId="2EB1BA95" w14:textId="77777777" w:rsidR="00432C8A" w:rsidRDefault="00432C8A">
      <w:pPr>
        <w:pStyle w:val="BodyText"/>
        <w:spacing w:before="1"/>
      </w:pPr>
    </w:p>
    <w:p w14:paraId="734FAC1C" w14:textId="77777777" w:rsidR="00432C8A" w:rsidRDefault="000E71D5">
      <w:pPr>
        <w:pStyle w:val="BodyText"/>
        <w:ind w:left="300" w:right="481"/>
      </w:pPr>
      <w:r>
        <w:t>An agreed schedule 7 or 4 will be included in a compiled list of special conditions held by each member jurisdiction. A formal letter to communicat</w:t>
      </w:r>
      <w:r>
        <w:t>e the agreed schedule will be sent to the requesting party by each jurisdiction, separately.</w:t>
      </w:r>
    </w:p>
    <w:p w14:paraId="528AA109" w14:textId="77777777" w:rsidR="00432C8A" w:rsidRDefault="00432C8A">
      <w:pPr>
        <w:pStyle w:val="BodyText"/>
        <w:spacing w:before="11"/>
        <w:rPr>
          <w:sz w:val="19"/>
        </w:rPr>
      </w:pPr>
    </w:p>
    <w:p w14:paraId="2B50C1A5" w14:textId="77777777" w:rsidR="00432C8A" w:rsidRDefault="000E71D5">
      <w:pPr>
        <w:pStyle w:val="BodyText"/>
        <w:ind w:left="300" w:right="875"/>
      </w:pPr>
      <w:r>
        <w:t>Each jurisdiction will provide the compiled schedule 7 and 4 listing to the Research Governance Office at each health service.</w:t>
      </w:r>
    </w:p>
    <w:p w14:paraId="54219595" w14:textId="77777777" w:rsidR="00432C8A" w:rsidRDefault="00432C8A">
      <w:pPr>
        <w:pStyle w:val="BodyText"/>
      </w:pPr>
    </w:p>
    <w:p w14:paraId="27744946" w14:textId="77777777" w:rsidR="00432C8A" w:rsidRDefault="000E71D5">
      <w:pPr>
        <w:pStyle w:val="Heading1"/>
        <w:spacing w:before="1"/>
        <w:ind w:left="300"/>
      </w:pPr>
      <w:bookmarkStart w:id="3" w:name="Non-binding_Process_for_Sponsors_and_Oth"/>
      <w:bookmarkEnd w:id="3"/>
      <w:r>
        <w:t>Non-binding Process for Sponsors a</w:t>
      </w:r>
      <w:r>
        <w:t>nd Other Requesting Parties</w:t>
      </w:r>
    </w:p>
    <w:p w14:paraId="332BDB98" w14:textId="77777777" w:rsidR="00432C8A" w:rsidRDefault="00432C8A">
      <w:pPr>
        <w:pStyle w:val="BodyText"/>
        <w:rPr>
          <w:b/>
        </w:rPr>
      </w:pPr>
    </w:p>
    <w:p w14:paraId="349435E7" w14:textId="284BDE25" w:rsidR="00432C8A" w:rsidRDefault="000E71D5">
      <w:pPr>
        <w:pStyle w:val="BodyText"/>
        <w:spacing w:line="237" w:lineRule="auto"/>
        <w:ind w:left="297" w:right="291"/>
      </w:pPr>
      <w:r>
        <w:t xml:space="preserve">It will be entirely the choice of the Sponsor/Local Sponsor or other commercial party to use the </w:t>
      </w:r>
      <w:proofErr w:type="spellStart"/>
      <w:r w:rsidR="005C53A9">
        <w:t>NaCTA</w:t>
      </w:r>
      <w:proofErr w:type="spellEnd"/>
      <w:r>
        <w:t xml:space="preserve"> </w:t>
      </w:r>
      <w:proofErr w:type="spellStart"/>
      <w:r>
        <w:t>centralised</w:t>
      </w:r>
      <w:proofErr w:type="spellEnd"/>
      <w:r>
        <w:t xml:space="preserve"> schedule 7 or 4 special conditions review process.</w:t>
      </w:r>
    </w:p>
    <w:p w14:paraId="34E4B709" w14:textId="77777777" w:rsidR="00432C8A" w:rsidRDefault="00432C8A">
      <w:pPr>
        <w:pStyle w:val="BodyText"/>
        <w:spacing w:before="3"/>
      </w:pPr>
    </w:p>
    <w:p w14:paraId="454E9F1F" w14:textId="77777777" w:rsidR="00432C8A" w:rsidRDefault="000E71D5">
      <w:pPr>
        <w:pStyle w:val="BodyText"/>
        <w:ind w:left="297" w:right="329"/>
      </w:pPr>
      <w:r>
        <w:t>A Sponsor or other commercial party may choose to negotiate s</w:t>
      </w:r>
      <w:r>
        <w:t xml:space="preserve">chedule 7 or 4 special conditions individually at each public health </w:t>
      </w:r>
      <w:proofErr w:type="spellStart"/>
      <w:r>
        <w:t>organisation</w:t>
      </w:r>
      <w:proofErr w:type="spellEnd"/>
      <w:r>
        <w:t xml:space="preserve"> that will conduct the research.</w:t>
      </w:r>
    </w:p>
    <w:sectPr w:rsidR="00432C8A">
      <w:headerReference w:type="even" r:id="rId10"/>
      <w:headerReference w:type="default" r:id="rId11"/>
      <w:footerReference w:type="even" r:id="rId12"/>
      <w:footerReference w:type="default" r:id="rId13"/>
      <w:headerReference w:type="first" r:id="rId14"/>
      <w:footerReference w:type="first" r:id="rId15"/>
      <w:pgSz w:w="11910" w:h="16850"/>
      <w:pgMar w:top="1660" w:right="1680" w:bottom="980" w:left="1680" w:header="1425" w:footer="78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9D988" w14:textId="77777777" w:rsidR="00000000" w:rsidRDefault="000E71D5">
      <w:r>
        <w:separator/>
      </w:r>
    </w:p>
  </w:endnote>
  <w:endnote w:type="continuationSeparator" w:id="0">
    <w:p w14:paraId="3D80D874" w14:textId="77777777" w:rsidR="00000000" w:rsidRDefault="000E7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FFF2" w14:textId="77777777" w:rsidR="00432C8A" w:rsidRDefault="000E71D5">
    <w:pPr>
      <w:pStyle w:val="BodyText"/>
      <w:spacing w:line="14" w:lineRule="auto"/>
    </w:pPr>
    <w:r>
      <w:pict w14:anchorId="1CF10499">
        <v:shapetype id="_x0000_t202" coordsize="21600,21600" o:spt="202" path="m,l,21600r21600,l21600,xe">
          <v:stroke joinstyle="miter"/>
          <v:path gradientshapeok="t" o:connecttype="rect"/>
        </v:shapetype>
        <v:shape id="_x0000_s1027" type="#_x0000_t202" style="position:absolute;margin-left:496.3pt;margin-top:791.7pt;width:12pt;height:15.3pt;z-index:-251768832;mso-position-horizontal-relative:page;mso-position-vertical-relative:page" filled="f" stroked="f">
          <v:textbox style="mso-next-textbox:#_x0000_s1027" inset="0,0,0,0">
            <w:txbxContent>
              <w:p w14:paraId="7A44F3C4" w14:textId="77777777" w:rsidR="00432C8A" w:rsidRDefault="000E71D5">
                <w:pPr>
                  <w:spacing w:before="10"/>
                  <w:ind w:left="60"/>
                  <w:rPr>
                    <w:rFonts w:ascii="Times New Roman"/>
                    <w:sz w:val="24"/>
                  </w:rPr>
                </w:pPr>
                <w:r>
                  <w:fldChar w:fldCharType="begin"/>
                </w:r>
                <w:r>
                  <w:rPr>
                    <w:rFonts w:ascii="Times New Roman"/>
                    <w:sz w:val="24"/>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93121" w14:textId="77777777" w:rsidR="005C53A9" w:rsidRDefault="005C53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904B" w14:textId="77777777" w:rsidR="00432C8A" w:rsidRDefault="000E71D5">
    <w:pPr>
      <w:pStyle w:val="BodyText"/>
      <w:spacing w:line="14" w:lineRule="auto"/>
    </w:pPr>
    <w:r>
      <w:pict w14:anchorId="6907D03C">
        <v:shapetype id="_x0000_t202" coordsize="21600,21600" o:spt="202" path="m,l,21600r21600,l21600,xe">
          <v:stroke joinstyle="miter"/>
          <v:path gradientshapeok="t" o:connecttype="rect"/>
        </v:shapetype>
        <v:shape id="_x0000_s1025" type="#_x0000_t202" style="position:absolute;margin-left:496.3pt;margin-top:791.7pt;width:12pt;height:15.3pt;z-index:-251766784;mso-position-horizontal-relative:page;mso-position-vertical-relative:page" filled="f" stroked="f">
          <v:textbox style="mso-next-textbox:#_x0000_s1025" inset="0,0,0,0">
            <w:txbxContent>
              <w:p w14:paraId="1F7F5C8F" w14:textId="77777777" w:rsidR="00432C8A" w:rsidRDefault="000E71D5">
                <w:pPr>
                  <w:spacing w:before="10"/>
                  <w:ind w:left="60"/>
                  <w:rPr>
                    <w:rFonts w:ascii="Times New Roman"/>
                    <w:sz w:val="24"/>
                  </w:rPr>
                </w:pPr>
                <w:r>
                  <w:fldChar w:fldCharType="begin"/>
                </w:r>
                <w:r>
                  <w:rPr>
                    <w:rFonts w:ascii="Times New Roman"/>
                    <w:sz w:val="24"/>
                  </w:rPr>
                  <w:instrText xml:space="preserve"> PAGE </w:instrText>
                </w:r>
                <w:r>
                  <w:fldChar w:fldCharType="separate"/>
                </w:r>
                <w:r>
                  <w:t>2</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54963" w14:textId="77777777" w:rsidR="005C53A9" w:rsidRDefault="005C53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B53B5" w14:textId="77777777" w:rsidR="00000000" w:rsidRDefault="000E71D5">
      <w:r>
        <w:separator/>
      </w:r>
    </w:p>
  </w:footnote>
  <w:footnote w:type="continuationSeparator" w:id="0">
    <w:p w14:paraId="6631D9AB" w14:textId="77777777" w:rsidR="00000000" w:rsidRDefault="000E7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DD94C" w14:textId="77777777" w:rsidR="00432C8A" w:rsidRDefault="000E71D5">
    <w:pPr>
      <w:pStyle w:val="BodyText"/>
      <w:spacing w:line="14" w:lineRule="auto"/>
    </w:pPr>
    <w:r>
      <w:pict w14:anchorId="64AEB20A">
        <v:shapetype id="_x0000_t202" coordsize="21600,21600" o:spt="202" path="m,l,21600r21600,l21600,xe">
          <v:stroke joinstyle="miter"/>
          <v:path gradientshapeok="t" o:connecttype="rect"/>
        </v:shapetype>
        <v:shape id="_x0000_s1028" type="#_x0000_t202" style="position:absolute;margin-left:89pt;margin-top:55.85pt;width:410.55pt;height:29.75pt;z-index:-251769856;mso-position-horizontal-relative:page;mso-position-vertical-relative:page" filled="f" stroked="f">
          <v:textbox style="mso-next-textbox:#_x0000_s1028" inset="0,0,0,0">
            <w:txbxContent>
              <w:p w14:paraId="209DC0FD" w14:textId="77777777" w:rsidR="005C53A9" w:rsidRDefault="000E71D5">
                <w:pPr>
                  <w:spacing w:before="19"/>
                  <w:ind w:left="20"/>
                  <w:rPr>
                    <w:b/>
                    <w:color w:val="FF0000"/>
                    <w:spacing w:val="-21"/>
                    <w:sz w:val="24"/>
                    <w:szCs w:val="24"/>
                  </w:rPr>
                </w:pPr>
                <w:r w:rsidRPr="005C53A9">
                  <w:rPr>
                    <w:b/>
                    <w:color w:val="FF0000"/>
                    <w:spacing w:val="-3"/>
                    <w:sz w:val="24"/>
                    <w:szCs w:val="24"/>
                  </w:rPr>
                  <w:t>Statement</w:t>
                </w:r>
                <w:r w:rsidRPr="005C53A9">
                  <w:rPr>
                    <w:b/>
                    <w:color w:val="FF0000"/>
                    <w:spacing w:val="-21"/>
                    <w:sz w:val="24"/>
                    <w:szCs w:val="24"/>
                  </w:rPr>
                  <w:t xml:space="preserve"> </w:t>
                </w:r>
                <w:r w:rsidRPr="005C53A9">
                  <w:rPr>
                    <w:b/>
                    <w:color w:val="FF0000"/>
                    <w:sz w:val="24"/>
                    <w:szCs w:val="24"/>
                  </w:rPr>
                  <w:t>of</w:t>
                </w:r>
                <w:r w:rsidRPr="005C53A9">
                  <w:rPr>
                    <w:b/>
                    <w:color w:val="FF0000"/>
                    <w:spacing w:val="-18"/>
                    <w:sz w:val="24"/>
                    <w:szCs w:val="24"/>
                  </w:rPr>
                  <w:t xml:space="preserve"> </w:t>
                </w:r>
                <w:r w:rsidRPr="005C53A9">
                  <w:rPr>
                    <w:b/>
                    <w:color w:val="FF0000"/>
                    <w:spacing w:val="-3"/>
                    <w:sz w:val="24"/>
                    <w:szCs w:val="24"/>
                  </w:rPr>
                  <w:t>Purpose</w:t>
                </w:r>
                <w:r w:rsidRPr="005C53A9">
                  <w:rPr>
                    <w:b/>
                    <w:color w:val="FF0000"/>
                    <w:spacing w:val="-14"/>
                    <w:sz w:val="24"/>
                    <w:szCs w:val="24"/>
                  </w:rPr>
                  <w:t xml:space="preserve"> </w:t>
                </w:r>
                <w:r w:rsidRPr="005C53A9">
                  <w:rPr>
                    <w:b/>
                    <w:color w:val="FF0000"/>
                    <w:sz w:val="24"/>
                    <w:szCs w:val="24"/>
                  </w:rPr>
                  <w:t>for</w:t>
                </w:r>
                <w:r w:rsidRPr="005C53A9">
                  <w:rPr>
                    <w:b/>
                    <w:color w:val="FF0000"/>
                    <w:spacing w:val="-21"/>
                    <w:sz w:val="24"/>
                    <w:szCs w:val="24"/>
                  </w:rPr>
                  <w:t xml:space="preserve"> </w:t>
                </w:r>
                <w:r w:rsidRPr="005C53A9">
                  <w:rPr>
                    <w:b/>
                    <w:color w:val="FF0000"/>
                    <w:sz w:val="24"/>
                    <w:szCs w:val="24"/>
                  </w:rPr>
                  <w:t>the</w:t>
                </w:r>
                <w:r w:rsidRPr="005C53A9">
                  <w:rPr>
                    <w:b/>
                    <w:color w:val="FF0000"/>
                    <w:spacing w:val="-21"/>
                    <w:sz w:val="24"/>
                    <w:szCs w:val="24"/>
                  </w:rPr>
                  <w:t xml:space="preserve"> </w:t>
                </w:r>
              </w:p>
              <w:p w14:paraId="6BCC8801" w14:textId="1DD8C8D8" w:rsidR="00432C8A" w:rsidRPr="005C53A9" w:rsidRDefault="005C53A9">
                <w:pPr>
                  <w:spacing w:before="19"/>
                  <w:ind w:left="20"/>
                  <w:rPr>
                    <w:b/>
                    <w:sz w:val="24"/>
                    <w:szCs w:val="24"/>
                  </w:rPr>
                </w:pPr>
                <w:r w:rsidRPr="005C53A9">
                  <w:rPr>
                    <w:b/>
                    <w:color w:val="FF0000"/>
                    <w:spacing w:val="-3"/>
                    <w:sz w:val="24"/>
                    <w:szCs w:val="24"/>
                  </w:rPr>
                  <w:t xml:space="preserve">National Clinical Trial Agreements </w:t>
                </w:r>
                <w:r w:rsidR="000E71D5" w:rsidRPr="005C53A9">
                  <w:rPr>
                    <w:b/>
                    <w:color w:val="FF0000"/>
                    <w:sz w:val="24"/>
                    <w:szCs w:val="24"/>
                  </w:rPr>
                  <w:t>Panel</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1B67" w14:textId="77777777" w:rsidR="005C53A9" w:rsidRDefault="005C53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BF819" w14:textId="1F807570" w:rsidR="00432C8A" w:rsidRDefault="00432C8A">
    <w:pPr>
      <w:pStyle w:val="BodyText"/>
      <w:spacing w:line="14"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E895" w14:textId="77777777" w:rsidR="005C53A9" w:rsidRDefault="005C53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433E3"/>
    <w:multiLevelType w:val="hybridMultilevel"/>
    <w:tmpl w:val="9E7ECEF4"/>
    <w:lvl w:ilvl="0" w:tplc="0338B586">
      <w:numFmt w:val="bullet"/>
      <w:lvlText w:val=""/>
      <w:lvlJc w:val="left"/>
      <w:pPr>
        <w:ind w:left="657" w:hanging="540"/>
      </w:pPr>
      <w:rPr>
        <w:rFonts w:ascii="Wingdings" w:eastAsia="Wingdings" w:hAnsi="Wingdings" w:cs="Wingdings" w:hint="default"/>
        <w:w w:val="98"/>
        <w:sz w:val="20"/>
        <w:szCs w:val="20"/>
      </w:rPr>
    </w:lvl>
    <w:lvl w:ilvl="1" w:tplc="50182A1E">
      <w:numFmt w:val="bullet"/>
      <w:lvlText w:val="•"/>
      <w:lvlJc w:val="left"/>
      <w:pPr>
        <w:ind w:left="1448" w:hanging="540"/>
      </w:pPr>
      <w:rPr>
        <w:rFonts w:hint="default"/>
      </w:rPr>
    </w:lvl>
    <w:lvl w:ilvl="2" w:tplc="3908432E">
      <w:numFmt w:val="bullet"/>
      <w:lvlText w:val="•"/>
      <w:lvlJc w:val="left"/>
      <w:pPr>
        <w:ind w:left="2237" w:hanging="540"/>
      </w:pPr>
      <w:rPr>
        <w:rFonts w:hint="default"/>
      </w:rPr>
    </w:lvl>
    <w:lvl w:ilvl="3" w:tplc="AE5A4606">
      <w:numFmt w:val="bullet"/>
      <w:lvlText w:val="•"/>
      <w:lvlJc w:val="left"/>
      <w:pPr>
        <w:ind w:left="3025" w:hanging="540"/>
      </w:pPr>
      <w:rPr>
        <w:rFonts w:hint="default"/>
      </w:rPr>
    </w:lvl>
    <w:lvl w:ilvl="4" w:tplc="BC5EF312">
      <w:numFmt w:val="bullet"/>
      <w:lvlText w:val="•"/>
      <w:lvlJc w:val="left"/>
      <w:pPr>
        <w:ind w:left="3814" w:hanging="540"/>
      </w:pPr>
      <w:rPr>
        <w:rFonts w:hint="default"/>
      </w:rPr>
    </w:lvl>
    <w:lvl w:ilvl="5" w:tplc="BCB2A162">
      <w:numFmt w:val="bullet"/>
      <w:lvlText w:val="•"/>
      <w:lvlJc w:val="left"/>
      <w:pPr>
        <w:ind w:left="4603" w:hanging="540"/>
      </w:pPr>
      <w:rPr>
        <w:rFonts w:hint="default"/>
      </w:rPr>
    </w:lvl>
    <w:lvl w:ilvl="6" w:tplc="DAAEE1D8">
      <w:numFmt w:val="bullet"/>
      <w:lvlText w:val="•"/>
      <w:lvlJc w:val="left"/>
      <w:pPr>
        <w:ind w:left="5391" w:hanging="540"/>
      </w:pPr>
      <w:rPr>
        <w:rFonts w:hint="default"/>
      </w:rPr>
    </w:lvl>
    <w:lvl w:ilvl="7" w:tplc="B6EC2E2A">
      <w:numFmt w:val="bullet"/>
      <w:lvlText w:val="•"/>
      <w:lvlJc w:val="left"/>
      <w:pPr>
        <w:ind w:left="6180" w:hanging="540"/>
      </w:pPr>
      <w:rPr>
        <w:rFonts w:hint="default"/>
      </w:rPr>
    </w:lvl>
    <w:lvl w:ilvl="8" w:tplc="48EE5398">
      <w:numFmt w:val="bullet"/>
      <w:lvlText w:val="•"/>
      <w:lvlJc w:val="left"/>
      <w:pPr>
        <w:ind w:left="6969" w:hanging="540"/>
      </w:pPr>
      <w:rPr>
        <w:rFonts w:hint="default"/>
      </w:rPr>
    </w:lvl>
  </w:abstractNum>
  <w:num w:numId="1" w16cid:durableId="571162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32C8A"/>
    <w:rsid w:val="000E71D5"/>
    <w:rsid w:val="00432C8A"/>
    <w:rsid w:val="005C53A9"/>
    <w:rsid w:val="00F3196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6F92F0"/>
  <w15:docId w15:val="{D377318A-9FB3-48BC-B27C-4C302ED5C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spacing w:before="19"/>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57"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C53A9"/>
    <w:pPr>
      <w:tabs>
        <w:tab w:val="center" w:pos="4513"/>
        <w:tab w:val="right" w:pos="9026"/>
      </w:tabs>
    </w:pPr>
  </w:style>
  <w:style w:type="character" w:customStyle="1" w:styleId="HeaderChar">
    <w:name w:val="Header Char"/>
    <w:basedOn w:val="DefaultParagraphFont"/>
    <w:link w:val="Header"/>
    <w:uiPriority w:val="99"/>
    <w:rsid w:val="005C53A9"/>
    <w:rPr>
      <w:rFonts w:ascii="Verdana" w:eastAsia="Verdana" w:hAnsi="Verdana" w:cs="Verdana"/>
    </w:rPr>
  </w:style>
  <w:style w:type="paragraph" w:styleId="Footer">
    <w:name w:val="footer"/>
    <w:basedOn w:val="Normal"/>
    <w:link w:val="FooterChar"/>
    <w:uiPriority w:val="99"/>
    <w:unhideWhenUsed/>
    <w:rsid w:val="005C53A9"/>
    <w:pPr>
      <w:tabs>
        <w:tab w:val="center" w:pos="4513"/>
        <w:tab w:val="right" w:pos="9026"/>
      </w:tabs>
    </w:pPr>
  </w:style>
  <w:style w:type="character" w:customStyle="1" w:styleId="FooterChar">
    <w:name w:val="Footer Char"/>
    <w:basedOn w:val="DefaultParagraphFont"/>
    <w:link w:val="Footer"/>
    <w:uiPriority w:val="99"/>
    <w:rsid w:val="005C53A9"/>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medicinesaustralia.com.au/issues-information/clinical-trials/clinical-trials-research-agreements/"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77274858-3b1d-4431-8679-d878f40e28fd}" enabled="1" method="Privileged" siteId="{bda528f7-fca9-432f-bc98-bd7e90d40906}" contentBits="3" removed="0"/>
</clbl:labelList>
</file>

<file path=docProps/app.xml><?xml version="1.0" encoding="utf-8"?>
<Properties xmlns="http://schemas.openxmlformats.org/officeDocument/2006/extended-properties" xmlns:vt="http://schemas.openxmlformats.org/officeDocument/2006/docPropsVTypes">
  <Template>Normal.dotm</Template>
  <TotalTime>4</TotalTime>
  <Pages>2</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Statement of Purpose for the Southern Eastern Border States committee</vt:lpstr>
    </vt:vector>
  </TitlesOfParts>
  <Company>SA Health</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Purpose for the Southern Eastern Border States committee</dc:title>
  <dc:creator>shas1701</dc:creator>
  <cp:lastModifiedBy>Swart, Bernadette (Health)</cp:lastModifiedBy>
  <cp:revision>3</cp:revision>
  <dcterms:created xsi:type="dcterms:W3CDTF">2024-03-04T05:40:00Z</dcterms:created>
  <dcterms:modified xsi:type="dcterms:W3CDTF">2024-03-04T05:42:00Z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15 for Word</vt:lpwstr>
  </property>
  <property fmtid="{D5CDD505-2E9C-101B-9397-08002B2CF9AE}" pid="4" name="LastSaved">
    <vt:filetime>2024-03-04T00:00:00Z</vt:filetime>
  </property>
</Properties>
</file>